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90" w:rsidRPr="005231B5" w:rsidRDefault="00EB5590" w:rsidP="00EB5590">
      <w:pPr>
        <w:spacing w:after="120"/>
        <w:ind w:firstLine="0"/>
        <w:rPr>
          <w:b/>
        </w:rPr>
      </w:pPr>
      <w:r w:rsidRPr="005231B5">
        <w:rPr>
          <w:b/>
        </w:rPr>
        <w:t>Tên thủ tục 12:</w:t>
      </w:r>
      <w:r w:rsidRPr="005231B5">
        <w:t xml:space="preserve"> </w:t>
      </w:r>
      <w:r w:rsidRPr="005231B5">
        <w:rPr>
          <w:b/>
          <w:i/>
        </w:rPr>
        <w:t>Quyết định tiêu huỷ tài sản công</w:t>
      </w:r>
    </w:p>
    <w:p w:rsidR="00EB5590" w:rsidRPr="005231B5" w:rsidRDefault="00EB5590" w:rsidP="00EB5590">
      <w:pPr>
        <w:spacing w:after="120"/>
        <w:ind w:firstLine="0"/>
        <w:rPr>
          <w:b/>
        </w:rPr>
      </w:pPr>
      <w:r w:rsidRPr="005231B5">
        <w:rPr>
          <w:b/>
        </w:rPr>
        <w:t>1. Trình tự thực hiện</w:t>
      </w:r>
    </w:p>
    <w:p w:rsidR="00EB5590" w:rsidRPr="005231B5" w:rsidRDefault="00EB5590" w:rsidP="00EB5590">
      <w:pPr>
        <w:spacing w:after="120"/>
        <w:ind w:firstLine="0"/>
        <w:rPr>
          <w:szCs w:val="28"/>
        </w:rPr>
      </w:pPr>
      <w:r w:rsidRPr="005231B5">
        <w:t xml:space="preserve">Bước 1: </w:t>
      </w:r>
      <w:r w:rsidRPr="005231B5">
        <w:rPr>
          <w:szCs w:val="28"/>
          <w:lang w:val="vi-VN"/>
        </w:rPr>
        <w:t>Khi có tài sản công thuộc các trường hợp phải tiêu hủy</w:t>
      </w:r>
      <w:r w:rsidRPr="005231B5">
        <w:rPr>
          <w:szCs w:val="28"/>
        </w:rPr>
        <w:t>, cơ quan, tổ chức, đơn vị</w:t>
      </w:r>
      <w:r w:rsidRPr="005231B5">
        <w:rPr>
          <w:szCs w:val="28"/>
          <w:lang w:val="vi-VN"/>
        </w:rPr>
        <w:t xml:space="preserve"> có tài sản lập 01 bộ hồ sơ đề nghị tiêu hủy tài sản công gửi cơ quan quản lý cấp trên (nếu có) để xem xét, đề nghị </w:t>
      </w:r>
      <w:r w:rsidRPr="005231B5">
        <w:rPr>
          <w:szCs w:val="28"/>
        </w:rPr>
        <w:t xml:space="preserve">Chủ tịch UBND tỉnh </w:t>
      </w:r>
      <w:r w:rsidRPr="005231B5">
        <w:rPr>
          <w:szCs w:val="28"/>
          <w:lang w:val="pt-BR"/>
        </w:rPr>
        <w:t>xem xét,</w:t>
      </w:r>
      <w:r w:rsidRPr="005231B5">
        <w:rPr>
          <w:szCs w:val="28"/>
          <w:lang w:val="vi-VN"/>
        </w:rPr>
        <w:t xml:space="preserve"> quyết định.</w:t>
      </w:r>
    </w:p>
    <w:p w:rsidR="00EB5590" w:rsidRPr="005231B5" w:rsidRDefault="00EB5590" w:rsidP="00EB5590">
      <w:pPr>
        <w:spacing w:after="120"/>
        <w:ind w:firstLine="0"/>
        <w:rPr>
          <w:szCs w:val="28"/>
        </w:rPr>
      </w:pPr>
      <w:r w:rsidRPr="005231B5">
        <w:rPr>
          <w:szCs w:val="28"/>
        </w:rPr>
        <w:t xml:space="preserve">Bước </w:t>
      </w:r>
      <w:r w:rsidRPr="005231B5">
        <w:rPr>
          <w:szCs w:val="28"/>
          <w:lang w:val="vi-VN"/>
        </w:rPr>
        <w:t xml:space="preserve">2. Trong thời hạn 30 ngày, kể từ ngày nhận được đầy đủ hồ sơ hợp lệ, Chủ tịch UBND tỉnh quyết định tiêu hủy tài sản công hoặc có văn bản hồi đáp trong trường hợp đề nghị tiêu hủy không phù hợp. </w:t>
      </w:r>
    </w:p>
    <w:p w:rsidR="00EB5590" w:rsidRPr="005231B5" w:rsidRDefault="00EB5590" w:rsidP="00EB5590">
      <w:pPr>
        <w:spacing w:after="120"/>
        <w:ind w:firstLine="0"/>
      </w:pPr>
      <w:r w:rsidRPr="005231B5">
        <w:rPr>
          <w:b/>
          <w:lang w:val="vi-VN"/>
        </w:rPr>
        <w:t>2. Cách thức thực hiện:</w:t>
      </w:r>
      <w:r w:rsidRPr="005231B5">
        <w:t xml:space="preserve"> </w:t>
      </w:r>
      <w:r w:rsidRPr="005231B5">
        <w:rPr>
          <w:lang w:val="vi-VN"/>
        </w:rPr>
        <w:t xml:space="preserve">Nộp hồ sơ trực tiếp tại </w:t>
      </w:r>
      <w:r w:rsidRPr="005231B5">
        <w:t>Sở Tài chính</w:t>
      </w:r>
      <w:r w:rsidRPr="005231B5">
        <w:rPr>
          <w:lang w:val="vi-VN"/>
        </w:rPr>
        <w:t xml:space="preserve"> hoặc</w:t>
      </w:r>
      <w:r w:rsidRPr="005231B5">
        <w:t xml:space="preserve"> g</w:t>
      </w:r>
      <w:r w:rsidRPr="005231B5">
        <w:rPr>
          <w:lang w:val="vi-VN"/>
        </w:rPr>
        <w:t>ửi qua đường bưu điện.</w:t>
      </w:r>
    </w:p>
    <w:p w:rsidR="00EB5590" w:rsidRPr="005231B5" w:rsidRDefault="00EB5590" w:rsidP="00EB5590">
      <w:pPr>
        <w:spacing w:after="120"/>
        <w:ind w:firstLine="0"/>
        <w:rPr>
          <w:b/>
          <w:lang w:val="vi-VN"/>
        </w:rPr>
      </w:pPr>
      <w:r w:rsidRPr="005231B5">
        <w:rPr>
          <w:b/>
          <w:lang w:val="vi-VN"/>
        </w:rPr>
        <w:t>3. Thành phần, số lượng hồ sơ</w:t>
      </w:r>
    </w:p>
    <w:p w:rsidR="00EB5590" w:rsidRPr="005231B5" w:rsidRDefault="00EB5590" w:rsidP="00EB5590">
      <w:pPr>
        <w:spacing w:after="120"/>
        <w:ind w:firstLine="0"/>
      </w:pPr>
      <w:r w:rsidRPr="005231B5">
        <w:t>a) Thành phần hồ sơ:</w:t>
      </w:r>
    </w:p>
    <w:p w:rsidR="00EB5590" w:rsidRPr="005231B5" w:rsidRDefault="00EB5590" w:rsidP="00EB5590">
      <w:pPr>
        <w:spacing w:after="120"/>
        <w:ind w:firstLine="0"/>
      </w:pPr>
      <w:r w:rsidRPr="005231B5">
        <w:t xml:space="preserve">- </w:t>
      </w:r>
      <w:r w:rsidRPr="005231B5">
        <w:rPr>
          <w:szCs w:val="28"/>
          <w:lang w:val="vi-VN"/>
        </w:rPr>
        <w:t>Văn bản đề nghị tiêu hủy tài sản công của cơ quan nhà nước được giao quản lý, sử dụng tài sản công (trong đó nêu rõ hình thức tiêu hủy, trách nhiệm tổ chức tiêu hủy tài sản, dự kiến kinh phí tiêu hủy): 01 bản chính;</w:t>
      </w:r>
    </w:p>
    <w:p w:rsidR="00EB5590" w:rsidRPr="005231B5" w:rsidRDefault="00EB5590" w:rsidP="00EB5590">
      <w:pPr>
        <w:spacing w:after="120"/>
        <w:ind w:firstLine="0"/>
        <w:rPr>
          <w:szCs w:val="28"/>
        </w:rPr>
      </w:pPr>
      <w:r w:rsidRPr="005231B5">
        <w:t xml:space="preserve">- </w:t>
      </w:r>
      <w:r w:rsidRPr="005231B5">
        <w:rPr>
          <w:szCs w:val="28"/>
          <w:lang w:val="vi-VN"/>
        </w:rPr>
        <w:t>Văn bản đề nghị tiêu hủy tài sản công của cơ quan quản lý cấp trên (nếu có): 01 bản chính</w:t>
      </w:r>
      <w:r w:rsidRPr="005231B5">
        <w:rPr>
          <w:szCs w:val="28"/>
        </w:rPr>
        <w:t>;</w:t>
      </w:r>
    </w:p>
    <w:p w:rsidR="00EB5590" w:rsidRPr="005231B5" w:rsidRDefault="00EB5590" w:rsidP="00EB5590">
      <w:pPr>
        <w:spacing w:after="120"/>
        <w:ind w:firstLine="0"/>
      </w:pPr>
      <w:r w:rsidRPr="005231B5">
        <w:rPr>
          <w:szCs w:val="28"/>
        </w:rPr>
        <w:t xml:space="preserve">- </w:t>
      </w:r>
      <w:r w:rsidRPr="005231B5">
        <w:rPr>
          <w:szCs w:val="28"/>
          <w:lang w:val="vi-VN"/>
        </w:rPr>
        <w:t>Danh mục tài sản đề nghị tiêu hủy (chủng loại, số lượng; tình trạng; nguyên giá, giá trị còn lại theo sổ kế toán; lý do tiêu hủy): 01 bản chính;</w:t>
      </w:r>
    </w:p>
    <w:p w:rsidR="00EB5590" w:rsidRPr="005231B5" w:rsidRDefault="00EB5590" w:rsidP="00EB5590">
      <w:pPr>
        <w:spacing w:after="120"/>
        <w:ind w:firstLine="0"/>
      </w:pPr>
      <w:r w:rsidRPr="005231B5">
        <w:t xml:space="preserve">- </w:t>
      </w:r>
      <w:r w:rsidRPr="005231B5">
        <w:rPr>
          <w:szCs w:val="28"/>
          <w:lang w:val="vi-VN"/>
        </w:rPr>
        <w:t>Các hồ sơ khác có liên quan đến đề nghị tiêu hủy tài sản (nếu có): 01 bản sao.</w:t>
      </w:r>
    </w:p>
    <w:p w:rsidR="00EB5590" w:rsidRPr="005231B5" w:rsidRDefault="00EB5590" w:rsidP="00EB5590">
      <w:pPr>
        <w:spacing w:after="120"/>
        <w:ind w:firstLine="0"/>
        <w:rPr>
          <w:i/>
        </w:rPr>
      </w:pPr>
      <w:r w:rsidRPr="005231B5">
        <w:t>b) Số lượng hồ sơ: 01 bộ.</w:t>
      </w:r>
    </w:p>
    <w:p w:rsidR="00EB5590" w:rsidRPr="005231B5" w:rsidRDefault="00EB5590" w:rsidP="00EB5590">
      <w:pPr>
        <w:spacing w:after="120"/>
        <w:ind w:firstLine="0"/>
      </w:pPr>
      <w:r w:rsidRPr="005231B5">
        <w:rPr>
          <w:b/>
        </w:rPr>
        <w:t>4. Thời hạn giải quyết:</w:t>
      </w:r>
      <w:r w:rsidRPr="005231B5">
        <w:t xml:space="preserve"> Không quá 30 ngày, kể từ ngày nhận đủ hồ sơ hợp lệ.</w:t>
      </w:r>
    </w:p>
    <w:p w:rsidR="00EB5590" w:rsidRPr="005231B5" w:rsidRDefault="00EB5590" w:rsidP="00EB5590">
      <w:pPr>
        <w:spacing w:after="120"/>
        <w:ind w:firstLine="0"/>
      </w:pPr>
      <w:r w:rsidRPr="005231B5">
        <w:rPr>
          <w:b/>
        </w:rPr>
        <w:t xml:space="preserve">5. Đối tượng thực hiện thủ tục hành chính: </w:t>
      </w:r>
      <w:r w:rsidRPr="005231B5">
        <w:t>Cơ quan, tổ chức, đơn vị có tài sản công thuộc các trường hợp phải tiêu hủy theo pháp luật về bảo vệ bí mật nhà nước, pháp luật về bảo vệ môi trường và pháp luật có liên quan.</w:t>
      </w:r>
    </w:p>
    <w:p w:rsidR="00EB5590" w:rsidRPr="005231B5" w:rsidRDefault="00EB5590" w:rsidP="00EB5590">
      <w:pPr>
        <w:spacing w:after="120"/>
        <w:ind w:firstLine="0"/>
        <w:rPr>
          <w:b/>
        </w:rPr>
      </w:pPr>
      <w:r w:rsidRPr="005231B5">
        <w:rPr>
          <w:b/>
        </w:rPr>
        <w:t xml:space="preserve">6. Cơ quan thực hiện thủ tục hành chính: </w:t>
      </w:r>
      <w:r w:rsidRPr="005231B5">
        <w:t>UBND tỉnh (Sở Tài chính).</w:t>
      </w:r>
    </w:p>
    <w:p w:rsidR="00EB5590" w:rsidRPr="005231B5" w:rsidRDefault="00EB5590" w:rsidP="00EB5590">
      <w:pPr>
        <w:spacing w:after="120"/>
        <w:ind w:firstLine="0"/>
      </w:pPr>
      <w:r w:rsidRPr="005231B5">
        <w:rPr>
          <w:b/>
        </w:rPr>
        <w:t xml:space="preserve">7. Kết quả thực hiện thủ tục hành chính: </w:t>
      </w:r>
      <w:r w:rsidRPr="005231B5">
        <w:t xml:space="preserve">Quyết định tiêu hủy tài sản công hoặc văn bản hồi đáp trong trường hợp đề nghị tiêu hủy không phù hợp. </w:t>
      </w:r>
    </w:p>
    <w:p w:rsidR="00EB5590" w:rsidRPr="005231B5" w:rsidRDefault="00EB5590" w:rsidP="00EB5590">
      <w:pPr>
        <w:spacing w:after="120"/>
        <w:ind w:firstLine="0"/>
      </w:pPr>
      <w:r w:rsidRPr="005231B5">
        <w:rPr>
          <w:b/>
        </w:rPr>
        <w:t>8. Phí, lệ phí (nếu có):</w:t>
      </w:r>
      <w:r w:rsidRPr="005231B5">
        <w:t xml:space="preserve"> Không có.</w:t>
      </w:r>
    </w:p>
    <w:p w:rsidR="00EB5590" w:rsidRPr="005231B5" w:rsidRDefault="00EB5590" w:rsidP="00EB5590">
      <w:pPr>
        <w:spacing w:after="120"/>
        <w:ind w:firstLine="0"/>
        <w:rPr>
          <w:spacing w:val="-4"/>
        </w:rPr>
      </w:pPr>
      <w:r w:rsidRPr="005231B5">
        <w:rPr>
          <w:b/>
          <w:spacing w:val="-4"/>
        </w:rPr>
        <w:t>9. Tên, mẫu đơn, mẫu tờ khai:</w:t>
      </w:r>
      <w:r w:rsidRPr="005231B5">
        <w:rPr>
          <w:spacing w:val="-4"/>
        </w:rPr>
        <w:t xml:space="preserve"> Không có.</w:t>
      </w:r>
    </w:p>
    <w:p w:rsidR="00EB5590" w:rsidRPr="005231B5" w:rsidRDefault="00EB5590" w:rsidP="00EB5590">
      <w:pPr>
        <w:spacing w:after="120"/>
        <w:ind w:firstLine="0"/>
        <w:rPr>
          <w:b/>
        </w:rPr>
      </w:pPr>
      <w:r w:rsidRPr="005231B5">
        <w:rPr>
          <w:b/>
        </w:rPr>
        <w:t xml:space="preserve">10. Yêu cầu, điều kiện thực hiện thủ tục hành chính (nếu có): </w:t>
      </w:r>
      <w:r w:rsidRPr="005231B5">
        <w:t>Không có.</w:t>
      </w:r>
    </w:p>
    <w:p w:rsidR="00EB5590" w:rsidRPr="005231B5" w:rsidRDefault="00EB5590" w:rsidP="00EB5590">
      <w:pPr>
        <w:spacing w:after="120"/>
        <w:ind w:firstLine="0"/>
        <w:rPr>
          <w:b/>
        </w:rPr>
      </w:pPr>
      <w:r w:rsidRPr="005231B5">
        <w:rPr>
          <w:b/>
        </w:rPr>
        <w:t>11. Căn cứ pháp lý của thủ tục hành chính</w:t>
      </w:r>
    </w:p>
    <w:p w:rsidR="00EB5590" w:rsidRPr="005231B5" w:rsidRDefault="00EB5590" w:rsidP="00EB5590">
      <w:pPr>
        <w:spacing w:after="120"/>
        <w:ind w:firstLine="0"/>
      </w:pPr>
      <w:r w:rsidRPr="005231B5">
        <w:t>- Luật Quản lý, sử dụng tài sản công;</w:t>
      </w:r>
    </w:p>
    <w:p w:rsidR="00EB5590" w:rsidRPr="005231B5" w:rsidRDefault="00EB5590" w:rsidP="00EB5590">
      <w:pPr>
        <w:spacing w:after="120"/>
        <w:ind w:firstLine="0"/>
      </w:pPr>
      <w:r w:rsidRPr="005231B5">
        <w:lastRenderedPageBreak/>
        <w:t>- Nghị định số 151/2017/NĐ-CP ngày 26/12/2017 của Chính phủ quy định chi tiết một số điều của Luật Quản lý, sử dụng tài sản công;</w:t>
      </w:r>
    </w:p>
    <w:p w:rsidR="00EB5590" w:rsidRPr="005231B5" w:rsidRDefault="00EB5590" w:rsidP="00EB5590">
      <w:pPr>
        <w:spacing w:after="120"/>
        <w:ind w:firstLine="0"/>
      </w:pPr>
      <w:r w:rsidRPr="005231B5">
        <w:t>- Quyết định số 27/2018/QĐ-UBND ngày 20/7/2018 của UBND tỉnh Bình Định ban hành quy định phân cấp thẩm quyền quản lý, sử dụng tài sản công tại các cơ quan, tổ chức, đơn vị thuộc phạm vi quản lý của tỉnh Bình Định.</w:t>
      </w:r>
    </w:p>
    <w:p w:rsidR="00764D98" w:rsidRDefault="00EB5590">
      <w:bookmarkStart w:id="0" w:name="_GoBack"/>
      <w:bookmarkEnd w:id="0"/>
    </w:p>
    <w:sectPr w:rsidR="0076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90"/>
    <w:rsid w:val="00851ACD"/>
    <w:rsid w:val="008F2F8A"/>
    <w:rsid w:val="00EB55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90"/>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90"/>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2018-09-24T00:40:00Z</dcterms:created>
  <dcterms:modified xsi:type="dcterms:W3CDTF">2018-09-24T00:50:00Z</dcterms:modified>
</cp:coreProperties>
</file>